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E482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3F2BD50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60FD6A1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50FA6CBB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6D1119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431F0D9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780E12C6" w14:textId="6D9BFC7B" w:rsidR="00626558" w:rsidRPr="00B750D0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EF327AC" w14:textId="6503BE2C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BA39A37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145C122" w14:textId="305EBC42" w:rsidR="00626558" w:rsidRDefault="000F6376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3.</w:t>
      </w:r>
      <w:r w:rsidR="00626558">
        <w:rPr>
          <w:rFonts w:cstheme="minorHAnsi"/>
          <w:b/>
          <w:sz w:val="32"/>
        </w:rPr>
        <w:t xml:space="preserve"> razred </w:t>
      </w:r>
    </w:p>
    <w:p w14:paraId="4C0F1269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III. osnovna škola Bjelovar</w:t>
      </w:r>
    </w:p>
    <w:p w14:paraId="794236E9" w14:textId="2CC49F81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</w:t>
      </w:r>
      <w:r w:rsidR="000F6376">
        <w:rPr>
          <w:rFonts w:cstheme="minorHAnsi"/>
          <w:b/>
          <w:sz w:val="32"/>
        </w:rPr>
        <w:t>e</w:t>
      </w:r>
      <w:r>
        <w:rPr>
          <w:rFonts w:cstheme="minorHAnsi"/>
          <w:b/>
          <w:sz w:val="32"/>
        </w:rPr>
        <w:t xml:space="preserve">: </w:t>
      </w:r>
      <w:r w:rsidR="000F6376">
        <w:rPr>
          <w:rFonts w:cstheme="minorHAnsi"/>
          <w:b/>
          <w:sz w:val="32"/>
        </w:rPr>
        <w:t>Jasna Margetić, Ksenija Rubčić, Jasna Margetić</w:t>
      </w:r>
    </w:p>
    <w:p w14:paraId="7C4170A4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5F9290C2" w:rsidR="00B750D0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</w:t>
      </w:r>
      <w:r w:rsidR="00B750D0">
        <w:rPr>
          <w:rFonts w:cstheme="minorHAnsi"/>
          <w:b/>
          <w:sz w:val="32"/>
        </w:rPr>
        <w:t xml:space="preserve">, </w:t>
      </w:r>
      <w:r>
        <w:rPr>
          <w:rFonts w:cstheme="minorHAnsi"/>
          <w:b/>
          <w:sz w:val="32"/>
        </w:rPr>
        <w:t>rujan</w:t>
      </w:r>
      <w:r w:rsidR="00B750D0">
        <w:rPr>
          <w:rFonts w:cstheme="minorHAnsi"/>
          <w:b/>
          <w:sz w:val="32"/>
        </w:rPr>
        <w:t xml:space="preserve"> 20</w:t>
      </w:r>
      <w:r>
        <w:rPr>
          <w:rFonts w:cstheme="minorHAnsi"/>
          <w:b/>
          <w:sz w:val="32"/>
        </w:rPr>
        <w:t>21</w:t>
      </w:r>
      <w:r w:rsidR="00B750D0">
        <w:rPr>
          <w:rFonts w:cstheme="minorHAnsi"/>
          <w:b/>
          <w:sz w:val="32"/>
        </w:rPr>
        <w:t>.</w:t>
      </w:r>
    </w:p>
    <w:p w14:paraId="14C842B0" w14:textId="61B3161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E63DE2E" w14:textId="484F526B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619A631" w14:textId="41097F0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F297895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8645538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395F8F99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61E38DCA" w14:textId="5C260375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2E600FF7" w:rsidR="006D0648" w:rsidRDefault="006D0648" w:rsidP="006D0648">
      <w:pPr>
        <w:rPr>
          <w:rFonts w:cstheme="minorHAnsi"/>
        </w:rPr>
      </w:pPr>
    </w:p>
    <w:p w14:paraId="3651445B" w14:textId="66B837CA" w:rsidR="00626558" w:rsidRDefault="00626558" w:rsidP="006D0648">
      <w:pPr>
        <w:rPr>
          <w:rFonts w:cstheme="minorHAnsi"/>
        </w:rPr>
      </w:pPr>
    </w:p>
    <w:p w14:paraId="44412D54" w14:textId="1374CD67" w:rsidR="00626558" w:rsidRDefault="00626558" w:rsidP="006D0648">
      <w:pPr>
        <w:rPr>
          <w:rFonts w:cstheme="minorHAnsi"/>
        </w:rPr>
      </w:pPr>
    </w:p>
    <w:p w14:paraId="02F8B2C0" w14:textId="19EE2A6C" w:rsidR="00626558" w:rsidRDefault="00626558" w:rsidP="006D0648">
      <w:pPr>
        <w:rPr>
          <w:rFonts w:cstheme="minorHAnsi"/>
        </w:rPr>
      </w:pPr>
    </w:p>
    <w:p w14:paraId="60DE2D54" w14:textId="467DD3EB" w:rsidR="00626558" w:rsidRDefault="00626558" w:rsidP="006D0648">
      <w:pPr>
        <w:rPr>
          <w:rFonts w:cstheme="minorHAnsi"/>
        </w:rPr>
      </w:pPr>
    </w:p>
    <w:p w14:paraId="6437C77E" w14:textId="4AED26E8" w:rsidR="00626558" w:rsidRDefault="00626558" w:rsidP="006D0648">
      <w:pPr>
        <w:rPr>
          <w:rFonts w:cstheme="minorHAnsi"/>
        </w:rPr>
      </w:pPr>
    </w:p>
    <w:p w14:paraId="0B870508" w14:textId="55D8C026" w:rsidR="00626558" w:rsidRDefault="00626558" w:rsidP="006D0648">
      <w:pPr>
        <w:rPr>
          <w:rFonts w:cstheme="minorHAnsi"/>
        </w:rPr>
      </w:pPr>
    </w:p>
    <w:p w14:paraId="77504D24" w14:textId="77777777" w:rsidR="00626558" w:rsidRDefault="00626558" w:rsidP="006D0648">
      <w:pPr>
        <w:rPr>
          <w:rFonts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1725702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</w:t>
      </w:r>
      <w:r w:rsidR="0062655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</w:t>
      </w: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istraživanja prema pisanom protokolu </w:t>
      </w:r>
    </w:p>
    <w:p w14:paraId="0A7F3B38" w14:textId="6A64926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245983AE" w14:textId="2214B03C" w:rsidR="00614DA8" w:rsidRDefault="00614DA8" w:rsidP="00614DA8">
      <w:pPr>
        <w:pStyle w:val="paragraph"/>
        <w:textAlignment w:val="baseline"/>
        <w:rPr>
          <w:rStyle w:val="eop"/>
        </w:rPr>
      </w:pPr>
    </w:p>
    <w:p w14:paraId="0EB9A47F" w14:textId="77777777" w:rsidR="00626558" w:rsidRDefault="0062655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4A84C6AB" w14:textId="7CEE7918" w:rsidR="006414AD" w:rsidRDefault="00426538" w:rsidP="007329B7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63A881DB" w14:textId="77777777" w:rsidR="0031740C" w:rsidRPr="0031740C" w:rsidRDefault="0031740C" w:rsidP="0031740C">
      <w:pPr>
        <w:pStyle w:val="t-8"/>
        <w:ind w:left="720"/>
        <w:rPr>
          <w:rFonts w:asciiTheme="minorHAnsi" w:hAnsiTheme="minorHAnsi" w:cstheme="minorHAnsi"/>
          <w:i/>
          <w:iCs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35775AF4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</w:t>
      </w:r>
      <w:r w:rsidR="0031740C">
        <w:rPr>
          <w:sz w:val="24"/>
          <w:szCs w:val="24"/>
        </w:rPr>
        <w:t xml:space="preserve">. </w:t>
      </w:r>
      <w:r w:rsidR="0031740C">
        <w:rPr>
          <w:rFonts w:cstheme="minorHAnsi"/>
          <w:sz w:val="24"/>
        </w:rPr>
        <w:t xml:space="preserve">U elementu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3EE910B8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0E3337AA" w14:textId="5DEB3FE9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24FFAE9B" w14:textId="77777777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FDA256E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 w:rsidR="0031740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22F06" w14:textId="6EDAE4D8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navodi i opisuje konkretne primjere različitih oblika umjetničkog izražavanja, vrsta zanimanja, kulturno umjetničkih događanja, institucija i spomenika iz svog kraja s područja likovnih i vizualnih umjetnosti koje je posjetio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58A70C44"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1B8E6FE9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 w:rsidR="0031740C">
              <w:rPr>
                <w:sz w:val="24"/>
                <w:lang w:val="sv-SE"/>
              </w:rPr>
              <w:t>,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10C32DB2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</w:t>
      </w:r>
      <w:r w:rsidR="0031740C">
        <w:rPr>
          <w:sz w:val="24"/>
          <w:szCs w:val="24"/>
        </w:rPr>
        <w:t>. U elementu vrednovanja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vrednovat</w:t>
      </w:r>
      <w:r w:rsidR="0031740C">
        <w:rPr>
          <w:rFonts w:cstheme="minorHAnsi"/>
          <w:sz w:val="24"/>
        </w:rPr>
        <w:t xml:space="preserve"> će se</w:t>
      </w:r>
      <w:r>
        <w:rPr>
          <w:rFonts w:cstheme="minorHAnsi"/>
          <w:sz w:val="24"/>
        </w:rPr>
        <w:t xml:space="preserve">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2DA5279E" w:rsidR="007A4C51" w:rsidRDefault="007A4C51" w:rsidP="007A4C51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mjesne 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tablicu mjesnih vrijednosti i u njoj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i samostalno crta tablicu mjesnih vrijednosti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primjenjujući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isano zbraja i oduzima 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primjenjuje odgovarajući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Pisano zbraja i oduzima primjenjujući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primjenjujući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pravcima koji se sijeku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brzo tumači i kompliciranije geometrijske crteže uočavajući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ADFC3C9" w14:textId="75558E58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6E42C4F8" w14:textId="77777777" w:rsidR="00AC3DE7" w:rsidRDefault="00AC3DE7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128B59CE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0700E31F" w14:textId="4815C0FA" w:rsidR="00AC3DE7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059910D0" w14:textId="77777777" w:rsidR="00AC3DE7" w:rsidRPr="000C425C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253A98CB" w14:textId="77777777" w:rsidR="00626558" w:rsidRPr="00E46285" w:rsidRDefault="00626558" w:rsidP="00626558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54046575" w14:textId="77777777" w:rsidR="00626558" w:rsidRPr="00E46285" w:rsidRDefault="00626558" w:rsidP="00626558">
      <w:pPr>
        <w:jc w:val="both"/>
        <w:rPr>
          <w:rFonts w:cstheme="minorHAnsi"/>
        </w:rPr>
      </w:pPr>
      <w:r w:rsidRPr="00E46285">
        <w:rPr>
          <w:rFonts w:cstheme="minorHAnsi"/>
        </w:rPr>
        <w:t>1.  Vlatka Benki Brkić, Ana Hrkač: Kriteriji praćenja i ocjenjivanja (prema Kurikulima nastavnih predmeta), 2. razred osnovne škole</w:t>
      </w:r>
    </w:p>
    <w:p w14:paraId="47B51ECF" w14:textId="77777777" w:rsidR="00626558" w:rsidRPr="00E46285" w:rsidRDefault="00626558" w:rsidP="00626558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887E" w14:textId="77777777" w:rsidR="00242784" w:rsidRDefault="00242784" w:rsidP="00394D17">
      <w:pPr>
        <w:spacing w:after="0" w:line="240" w:lineRule="auto"/>
      </w:pPr>
      <w:r>
        <w:separator/>
      </w:r>
    </w:p>
  </w:endnote>
  <w:endnote w:type="continuationSeparator" w:id="0">
    <w:p w14:paraId="69D3056A" w14:textId="77777777" w:rsidR="00242784" w:rsidRDefault="00242784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9C0C" w14:textId="77777777" w:rsidR="00242784" w:rsidRDefault="00242784" w:rsidP="00394D17">
      <w:pPr>
        <w:spacing w:after="0" w:line="240" w:lineRule="auto"/>
      </w:pPr>
      <w:r>
        <w:separator/>
      </w:r>
    </w:p>
  </w:footnote>
  <w:footnote w:type="continuationSeparator" w:id="0">
    <w:p w14:paraId="5672EE4B" w14:textId="77777777" w:rsidR="00242784" w:rsidRDefault="00242784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0F6376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2784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1740C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5ED5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25A2E"/>
    <w:rsid w:val="00626558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3DE7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D3785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65F44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6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274F-6243-49D4-9EBA-C4B2DA8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67</Pages>
  <Words>24382</Words>
  <Characters>138980</Characters>
  <Application>Microsoft Office Word</Application>
  <DocSecurity>0</DocSecurity>
  <Lines>1158</Lines>
  <Paragraphs>326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Suzana Turković</cp:lastModifiedBy>
  <cp:revision>10</cp:revision>
  <cp:lastPrinted>2019-12-30T05:49:00Z</cp:lastPrinted>
  <dcterms:created xsi:type="dcterms:W3CDTF">2021-09-14T18:04:00Z</dcterms:created>
  <dcterms:modified xsi:type="dcterms:W3CDTF">2021-09-14T20:09:00Z</dcterms:modified>
</cp:coreProperties>
</file>